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5D" w:rsidRPr="00633794" w:rsidRDefault="008A4E69">
      <w:pPr>
        <w:rPr>
          <w:color w:val="000000" w:themeColor="text1"/>
        </w:rPr>
      </w:pPr>
      <w:r w:rsidRPr="00633794">
        <w:rPr>
          <w:color w:val="000000" w:themeColor="text1"/>
        </w:rPr>
        <w:t xml:space="preserve"> </w:t>
      </w:r>
    </w:p>
    <w:p w:rsidR="00912053" w:rsidRPr="006D7B71" w:rsidRDefault="00912053" w:rsidP="006D7B71">
      <w:pPr>
        <w:pStyle w:val="ListParagraph"/>
        <w:numPr>
          <w:ilvl w:val="0"/>
          <w:numId w:val="3"/>
        </w:numPr>
        <w:spacing w:after="0" w:line="360" w:lineRule="auto"/>
        <w:rPr>
          <w:b/>
          <w:color w:val="000000" w:themeColor="text1"/>
        </w:rPr>
      </w:pPr>
      <w:r w:rsidRPr="006D7B71">
        <w:rPr>
          <w:b/>
          <w:color w:val="000000" w:themeColor="text1"/>
        </w:rPr>
        <w:t>SBHI Ki</w:t>
      </w:r>
      <w:r w:rsidR="00CF0FB0" w:rsidRPr="006D7B71">
        <w:rPr>
          <w:b/>
          <w:color w:val="000000" w:themeColor="text1"/>
        </w:rPr>
        <w:t xml:space="preserve">ldare Branch Nursing Care </w:t>
      </w:r>
    </w:p>
    <w:p w:rsidR="002E14D6" w:rsidRDefault="002E14D6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 xml:space="preserve">SBHI Kildare Branch is putting together a panel of registered and experienced nurses to make themselves available to </w:t>
      </w:r>
      <w:proofErr w:type="gramStart"/>
      <w:r w:rsidRPr="00633794">
        <w:rPr>
          <w:color w:val="000000" w:themeColor="text1"/>
        </w:rPr>
        <w:t>provide</w:t>
      </w:r>
      <w:r w:rsidR="006D7B71">
        <w:rPr>
          <w:color w:val="000000" w:themeColor="text1"/>
        </w:rPr>
        <w:t xml:space="preserve"> </w:t>
      </w:r>
      <w:r w:rsidR="003F2039" w:rsidRPr="00633794">
        <w:rPr>
          <w:color w:val="000000" w:themeColor="text1"/>
        </w:rPr>
        <w:t xml:space="preserve"> Paediatric</w:t>
      </w:r>
      <w:proofErr w:type="gramEnd"/>
      <w:r w:rsidR="003F2039" w:rsidRPr="00633794">
        <w:rPr>
          <w:color w:val="000000" w:themeColor="text1"/>
        </w:rPr>
        <w:t xml:space="preserve"> Nursing Care (12 years and under) and</w:t>
      </w:r>
      <w:r w:rsidR="006D7B71">
        <w:rPr>
          <w:color w:val="000000" w:themeColor="text1"/>
        </w:rPr>
        <w:t>/or</w:t>
      </w:r>
      <w:r w:rsidR="003F2039" w:rsidRPr="00633794">
        <w:rPr>
          <w:color w:val="000000" w:themeColor="text1"/>
        </w:rPr>
        <w:t xml:space="preserve"> Emergency Nursing Care (adults and children over 12 years of age)</w:t>
      </w:r>
      <w:r w:rsidR="00AE3E21" w:rsidRPr="00633794">
        <w:rPr>
          <w:color w:val="000000" w:themeColor="text1"/>
        </w:rPr>
        <w:t xml:space="preserve">. Please see </w:t>
      </w:r>
      <w:hyperlink r:id="rId6" w:history="1">
        <w:r w:rsidR="00AE3E21" w:rsidRPr="00633794">
          <w:rPr>
            <w:rStyle w:val="Hyperlink"/>
          </w:rPr>
          <w:t>www.sbhikildare.com/nurse</w:t>
        </w:r>
      </w:hyperlink>
      <w:r w:rsidR="006D7B71">
        <w:rPr>
          <w:color w:val="000000" w:themeColor="text1"/>
        </w:rPr>
        <w:t xml:space="preserve"> for processes regarding </w:t>
      </w:r>
      <w:r w:rsidR="00AE3E21" w:rsidRPr="00633794">
        <w:rPr>
          <w:color w:val="000000" w:themeColor="text1"/>
        </w:rPr>
        <w:t>nursing care</w:t>
      </w:r>
      <w:r w:rsidR="006D7B71">
        <w:rPr>
          <w:color w:val="000000" w:themeColor="text1"/>
        </w:rPr>
        <w:t>.</w:t>
      </w:r>
    </w:p>
    <w:p w:rsidR="006D7B71" w:rsidRDefault="006D7B71" w:rsidP="006D7B71">
      <w:pPr>
        <w:spacing w:after="0" w:line="360" w:lineRule="auto"/>
        <w:rPr>
          <w:rStyle w:val="3oh-"/>
        </w:rPr>
      </w:pPr>
      <w:r>
        <w:rPr>
          <w:rStyle w:val="3oh-"/>
        </w:rPr>
        <w:t>The frequency of nursing care requ</w:t>
      </w:r>
      <w:r>
        <w:rPr>
          <w:rStyle w:val="3oh-"/>
        </w:rPr>
        <w:t xml:space="preserve">ired would be quite sporadic thus </w:t>
      </w:r>
      <w:r>
        <w:rPr>
          <w:rStyle w:val="3oh-"/>
        </w:rPr>
        <w:t>very much part-time.</w:t>
      </w:r>
    </w:p>
    <w:p w:rsidR="006D7B71" w:rsidRPr="006D7B71" w:rsidRDefault="006D7B71" w:rsidP="006D7B71">
      <w:pPr>
        <w:spacing w:after="0" w:line="360" w:lineRule="auto"/>
        <w:rPr>
          <w:b/>
          <w:color w:val="000000" w:themeColor="text1"/>
        </w:rPr>
      </w:pPr>
    </w:p>
    <w:p w:rsidR="006D7B71" w:rsidRPr="006D7B71" w:rsidRDefault="006D7B71" w:rsidP="006D7B71">
      <w:pPr>
        <w:pStyle w:val="ListParagraph"/>
        <w:numPr>
          <w:ilvl w:val="0"/>
          <w:numId w:val="3"/>
        </w:numPr>
        <w:spacing w:after="0" w:line="360" w:lineRule="auto"/>
        <w:rPr>
          <w:b/>
          <w:color w:val="000000" w:themeColor="text1"/>
        </w:rPr>
      </w:pPr>
      <w:r w:rsidRPr="006D7B71">
        <w:rPr>
          <w:b/>
          <w:color w:val="000000" w:themeColor="text1"/>
        </w:rPr>
        <w:t>Spina Bifida Hydrocephalus Ireland</w:t>
      </w:r>
    </w:p>
    <w:p w:rsidR="006D7B71" w:rsidRDefault="006D7B71" w:rsidP="006D7B71">
      <w:pPr>
        <w:spacing w:after="0" w:line="360" w:lineRule="auto"/>
        <w:rPr>
          <w:color w:val="000000" w:themeColor="text1"/>
        </w:rPr>
      </w:pPr>
      <w:r w:rsidRPr="006D7B71">
        <w:rPr>
          <w:color w:val="000000" w:themeColor="text1"/>
        </w:rPr>
        <w:t>SBHI Kildare in a Branch of Spina Bifida Hydrocephalus Ireland</w:t>
      </w:r>
      <w:proofErr w:type="gramStart"/>
      <w:r w:rsidRPr="006D7B71">
        <w:rPr>
          <w:color w:val="000000" w:themeColor="text1"/>
        </w:rPr>
        <w:t>,  registered</w:t>
      </w:r>
      <w:proofErr w:type="gramEnd"/>
      <w:r w:rsidRPr="006D7B71">
        <w:rPr>
          <w:color w:val="000000" w:themeColor="text1"/>
        </w:rPr>
        <w:t xml:space="preserve"> business name of the National Association for Spina Bifida Hydrocephalus Ireland a Company Limited by Guarantee. </w:t>
      </w:r>
      <w:proofErr w:type="spellStart"/>
      <w:proofErr w:type="gramStart"/>
      <w:r w:rsidRPr="006D7B71">
        <w:rPr>
          <w:color w:val="000000" w:themeColor="text1"/>
        </w:rPr>
        <w:t>Reg</w:t>
      </w:r>
      <w:proofErr w:type="spellEnd"/>
      <w:r w:rsidRPr="006D7B71">
        <w:rPr>
          <w:color w:val="000000" w:themeColor="text1"/>
        </w:rPr>
        <w:t xml:space="preserve"> Company No. 455619 </w:t>
      </w:r>
      <w:proofErr w:type="spellStart"/>
      <w:r w:rsidRPr="006D7B71">
        <w:rPr>
          <w:color w:val="000000" w:themeColor="text1"/>
        </w:rPr>
        <w:t>Reg</w:t>
      </w:r>
      <w:proofErr w:type="spellEnd"/>
      <w:r w:rsidRPr="006D7B71">
        <w:rPr>
          <w:color w:val="000000" w:themeColor="text1"/>
        </w:rPr>
        <w:t xml:space="preserve"> Charity No. 20009366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</w:p>
    <w:p w:rsidR="006D7B71" w:rsidRPr="006D7B71" w:rsidRDefault="006D7B71" w:rsidP="006D7B71">
      <w:pPr>
        <w:spacing w:after="0" w:line="360" w:lineRule="auto"/>
        <w:rPr>
          <w:color w:val="000000" w:themeColor="text1"/>
        </w:rPr>
      </w:pPr>
    </w:p>
    <w:p w:rsidR="00CA5304" w:rsidRPr="006D7B71" w:rsidRDefault="00CA5304" w:rsidP="006D7B71">
      <w:pPr>
        <w:pStyle w:val="ListParagraph"/>
        <w:numPr>
          <w:ilvl w:val="0"/>
          <w:numId w:val="3"/>
        </w:numPr>
        <w:spacing w:after="0" w:line="360" w:lineRule="auto"/>
        <w:rPr>
          <w:b/>
          <w:color w:val="000000" w:themeColor="text1"/>
        </w:rPr>
      </w:pPr>
      <w:r w:rsidRPr="006D7B71">
        <w:rPr>
          <w:b/>
          <w:color w:val="000000" w:themeColor="text1"/>
        </w:rPr>
        <w:t>Terms and condition for nursing staff</w:t>
      </w:r>
    </w:p>
    <w:p w:rsidR="002E14D6" w:rsidRPr="00633794" w:rsidRDefault="002E14D6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 xml:space="preserve">There is no way to determine when </w:t>
      </w:r>
      <w:r w:rsidR="00CA5304" w:rsidRPr="00633794">
        <w:rPr>
          <w:color w:val="000000" w:themeColor="text1"/>
        </w:rPr>
        <w:t xml:space="preserve">or how often </w:t>
      </w:r>
      <w:r w:rsidRPr="00633794">
        <w:rPr>
          <w:color w:val="000000" w:themeColor="text1"/>
        </w:rPr>
        <w:t xml:space="preserve">you may be contacted. </w:t>
      </w:r>
      <w:r w:rsidR="00E95163" w:rsidRPr="00633794">
        <w:rPr>
          <w:color w:val="000000" w:themeColor="text1"/>
        </w:rPr>
        <w:t>The needs of our members in emergency situations can occur quickly and frequency of nursing care can be sporadic.</w:t>
      </w:r>
    </w:p>
    <w:p w:rsidR="002E14D6" w:rsidRPr="00633794" w:rsidRDefault="002E14D6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>You are under no obligation to agree to provide service when contacted.</w:t>
      </w:r>
    </w:p>
    <w:p w:rsidR="00E95163" w:rsidRPr="00633794" w:rsidRDefault="00E95163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 xml:space="preserve">Where possible nurses will phone member and confirm arrangements prior to delivering care. </w:t>
      </w:r>
    </w:p>
    <w:p w:rsidR="00AA2BE7" w:rsidRDefault="00AA2BE7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>We thank you for your interest and support to SBHI Kildare Bra</w:t>
      </w:r>
      <w:r w:rsidR="00633794" w:rsidRPr="00633794">
        <w:rPr>
          <w:color w:val="000000" w:themeColor="text1"/>
        </w:rPr>
        <w:t xml:space="preserve">nch. For more information and </w:t>
      </w:r>
    </w:p>
    <w:p w:rsidR="006D7B71" w:rsidRPr="00633794" w:rsidRDefault="006D7B71" w:rsidP="006D7B71">
      <w:pPr>
        <w:spacing w:after="0" w:line="360" w:lineRule="auto"/>
        <w:rPr>
          <w:color w:val="000000" w:themeColor="text1"/>
        </w:rPr>
      </w:pPr>
    </w:p>
    <w:p w:rsidR="00E95163" w:rsidRPr="006D7B71" w:rsidRDefault="00E95163" w:rsidP="006D7B71">
      <w:pPr>
        <w:pStyle w:val="ListParagraph"/>
        <w:numPr>
          <w:ilvl w:val="0"/>
          <w:numId w:val="3"/>
        </w:numPr>
        <w:spacing w:after="0" w:line="360" w:lineRule="auto"/>
        <w:rPr>
          <w:b/>
          <w:color w:val="000000" w:themeColor="text1"/>
        </w:rPr>
      </w:pPr>
      <w:r w:rsidRPr="006D7B71">
        <w:rPr>
          <w:b/>
          <w:color w:val="000000" w:themeColor="text1"/>
        </w:rPr>
        <w:t>Rate</w:t>
      </w:r>
    </w:p>
    <w:p w:rsidR="002E14D6" w:rsidRPr="00633794" w:rsidRDefault="002E14D6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>Payment for nursing care will be paid at a rate of €</w:t>
      </w:r>
      <w:r w:rsidR="00E95163" w:rsidRPr="00633794">
        <w:rPr>
          <w:color w:val="000000" w:themeColor="text1"/>
        </w:rPr>
        <w:t>15</w:t>
      </w:r>
      <w:r w:rsidRPr="00633794">
        <w:rPr>
          <w:color w:val="000000" w:themeColor="text1"/>
        </w:rPr>
        <w:t xml:space="preserve"> per hour.</w:t>
      </w:r>
    </w:p>
    <w:p w:rsidR="002E14D6" w:rsidRPr="00633794" w:rsidRDefault="002E14D6" w:rsidP="006D7B71">
      <w:pPr>
        <w:spacing w:after="0" w:line="360" w:lineRule="auto"/>
        <w:rPr>
          <w:color w:val="000000" w:themeColor="text1"/>
        </w:rPr>
      </w:pPr>
      <w:proofErr w:type="gramStart"/>
      <w:r w:rsidRPr="00633794">
        <w:rPr>
          <w:color w:val="000000" w:themeColor="text1"/>
        </w:rPr>
        <w:t xml:space="preserve">Mileage </w:t>
      </w:r>
      <w:r w:rsidR="00E95163" w:rsidRPr="00633794">
        <w:rPr>
          <w:color w:val="000000" w:themeColor="text1"/>
        </w:rPr>
        <w:t>allowance of one hourly rate of €15 plus</w:t>
      </w:r>
      <w:r w:rsidRPr="00633794">
        <w:rPr>
          <w:color w:val="000000" w:themeColor="text1"/>
        </w:rPr>
        <w:t xml:space="preserve"> €0</w:t>
      </w:r>
      <w:r w:rsidR="00F3114B" w:rsidRPr="00633794">
        <w:rPr>
          <w:color w:val="000000" w:themeColor="text1"/>
        </w:rPr>
        <w:t>.37 per km</w:t>
      </w:r>
      <w:r w:rsidR="00633794">
        <w:rPr>
          <w:color w:val="000000" w:themeColor="text1"/>
        </w:rPr>
        <w:t>.</w:t>
      </w:r>
      <w:proofErr w:type="gramEnd"/>
    </w:p>
    <w:p w:rsidR="002E14D6" w:rsidRDefault="00AE3E21" w:rsidP="006D7B71">
      <w:pPr>
        <w:spacing w:after="0" w:line="360" w:lineRule="auto"/>
        <w:rPr>
          <w:color w:val="000000" w:themeColor="text1"/>
        </w:rPr>
      </w:pPr>
      <w:r w:rsidRPr="00633794">
        <w:rPr>
          <w:color w:val="000000" w:themeColor="text1"/>
        </w:rPr>
        <w:t>To arrange payment p</w:t>
      </w:r>
      <w:r w:rsidR="002E14D6" w:rsidRPr="00633794">
        <w:rPr>
          <w:color w:val="000000" w:themeColor="text1"/>
        </w:rPr>
        <w:t xml:space="preserve">lease send invoice for </w:t>
      </w:r>
      <w:r w:rsidRPr="00633794">
        <w:rPr>
          <w:color w:val="000000" w:themeColor="text1"/>
        </w:rPr>
        <w:t>nursing care</w:t>
      </w:r>
      <w:r w:rsidR="002E14D6" w:rsidRPr="00633794">
        <w:rPr>
          <w:color w:val="000000" w:themeColor="text1"/>
        </w:rPr>
        <w:t xml:space="preserve"> to F</w:t>
      </w:r>
      <w:r w:rsidR="004319A8" w:rsidRPr="00633794">
        <w:rPr>
          <w:color w:val="000000" w:themeColor="text1"/>
        </w:rPr>
        <w:t>SW</w:t>
      </w:r>
      <w:r w:rsidR="003F2039" w:rsidRPr="00633794">
        <w:rPr>
          <w:color w:val="000000" w:themeColor="text1"/>
        </w:rPr>
        <w:t xml:space="preserve"> or Board</w:t>
      </w:r>
      <w:r w:rsidRPr="00633794">
        <w:rPr>
          <w:color w:val="000000" w:themeColor="text1"/>
        </w:rPr>
        <w:t xml:space="preserve">. Contact details </w:t>
      </w:r>
      <w:r w:rsidR="00633794">
        <w:rPr>
          <w:color w:val="000000" w:themeColor="text1"/>
        </w:rPr>
        <w:t xml:space="preserve">at </w:t>
      </w:r>
      <w:hyperlink r:id="rId7" w:history="1">
        <w:r w:rsidRPr="00633794">
          <w:rPr>
            <w:rStyle w:val="Hyperlink"/>
          </w:rPr>
          <w:t>http://www.sbhikildare.com/contact-us.html</w:t>
        </w:r>
      </w:hyperlink>
      <w:r w:rsidRPr="00633794">
        <w:rPr>
          <w:color w:val="000000" w:themeColor="text1"/>
        </w:rPr>
        <w:t xml:space="preserve"> </w:t>
      </w:r>
    </w:p>
    <w:p w:rsidR="006D7B71" w:rsidRDefault="006D7B71" w:rsidP="006D7B71">
      <w:pPr>
        <w:spacing w:after="0" w:line="360" w:lineRule="auto"/>
        <w:rPr>
          <w:color w:val="000000" w:themeColor="text1"/>
        </w:rPr>
      </w:pPr>
      <w:bookmarkStart w:id="0" w:name="_GoBack"/>
      <w:bookmarkEnd w:id="0"/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p w:rsidR="006D7B71" w:rsidRDefault="006D7B71" w:rsidP="00633794">
      <w:pPr>
        <w:spacing w:line="360" w:lineRule="auto"/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6"/>
        <w:gridCol w:w="7542"/>
      </w:tblGrid>
      <w:tr w:rsidR="006D7B71" w:rsidRPr="007E1BE5" w:rsidTr="00D648DC">
        <w:trPr>
          <w:trHeight w:val="243"/>
        </w:trPr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71" w:rsidRDefault="006D7B71" w:rsidP="00D648DC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IE"/>
              </w:rPr>
              <w:lastRenderedPageBreak/>
              <w:drawing>
                <wp:inline distT="0" distB="0" distL="0" distR="0" wp14:anchorId="516C092B" wp14:editId="38A89209">
                  <wp:extent cx="669851" cy="6698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 webs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41" cy="67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B71" w:rsidRPr="00EF69C6" w:rsidRDefault="006D7B71" w:rsidP="00D648DC">
            <w:pPr>
              <w:rPr>
                <w:color w:val="2E74B5" w:themeColor="accent1" w:themeShade="BF"/>
                <w:sz w:val="26"/>
                <w:szCs w:val="26"/>
              </w:rPr>
            </w:pPr>
            <w:r w:rsidRPr="00EF69C6">
              <w:rPr>
                <w:color w:val="2E74B5" w:themeColor="accent1" w:themeShade="BF"/>
                <w:sz w:val="26"/>
                <w:szCs w:val="26"/>
              </w:rPr>
              <w:t xml:space="preserve">Registration form/Terms and Conditions </w:t>
            </w:r>
          </w:p>
          <w:p w:rsidR="006D7B71" w:rsidRPr="00EF69C6" w:rsidRDefault="006D7B71" w:rsidP="00D648DC">
            <w:pPr>
              <w:rPr>
                <w:color w:val="2E74B5" w:themeColor="accent1" w:themeShade="BF"/>
                <w:sz w:val="26"/>
                <w:szCs w:val="26"/>
              </w:rPr>
            </w:pPr>
            <w:r w:rsidRPr="00EF69C6">
              <w:rPr>
                <w:color w:val="2E74B5" w:themeColor="accent1" w:themeShade="BF"/>
                <w:sz w:val="26"/>
                <w:szCs w:val="26"/>
              </w:rPr>
              <w:t>SBHI Kildare Branch Nursing Panel</w:t>
            </w:r>
          </w:p>
          <w:p w:rsidR="006D7B71" w:rsidRPr="007E1BE5" w:rsidRDefault="006D7B71" w:rsidP="00D648DC">
            <w:pPr>
              <w:rPr>
                <w:color w:val="2E74B5" w:themeColor="accent1" w:themeShade="BF"/>
                <w:sz w:val="36"/>
                <w:szCs w:val="36"/>
              </w:rPr>
            </w:pPr>
            <w:r w:rsidRPr="00EF69C6">
              <w:rPr>
                <w:color w:val="2E74B5" w:themeColor="accent1" w:themeShade="BF"/>
                <w:sz w:val="26"/>
                <w:szCs w:val="26"/>
              </w:rPr>
              <w:t>Please email completed form to info@sbhikildare.com</w:t>
            </w:r>
          </w:p>
        </w:tc>
      </w:tr>
      <w:tr w:rsidR="006D7B71" w:rsidRPr="00633794" w:rsidTr="006D7B71">
        <w:trPr>
          <w:trHeight w:hRule="exact" w:val="508"/>
        </w:trPr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6D7B71" w:rsidRPr="00633794" w:rsidRDefault="006D7B71" w:rsidP="00D648DC">
            <w:pPr>
              <w:ind w:left="720" w:hanging="720"/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Name</w:t>
            </w:r>
          </w:p>
        </w:tc>
        <w:tc>
          <w:tcPr>
            <w:tcW w:w="3432" w:type="pct"/>
            <w:tcBorders>
              <w:top w:val="single" w:sz="4" w:space="0" w:color="auto"/>
            </w:tcBorders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EF69C6" w:rsidTr="00D648DC">
        <w:trPr>
          <w:trHeight w:hRule="exact" w:val="932"/>
        </w:trPr>
        <w:tc>
          <w:tcPr>
            <w:tcW w:w="1568" w:type="pct"/>
            <w:vAlign w:val="center"/>
          </w:tcPr>
          <w:p w:rsidR="006D7B71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Address</w:t>
            </w:r>
            <w:r>
              <w:rPr>
                <w:color w:val="000000" w:themeColor="text1"/>
              </w:rPr>
              <w:t>:</w:t>
            </w:r>
          </w:p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EF69C6">
              <w:rPr>
                <w:i/>
                <w:color w:val="595959" w:themeColor="text1" w:themeTint="A6"/>
              </w:rPr>
              <w:t>(Nurses who live in Kildare or neighbouring counties please)</w:t>
            </w:r>
          </w:p>
        </w:tc>
        <w:tc>
          <w:tcPr>
            <w:tcW w:w="3432" w:type="pct"/>
          </w:tcPr>
          <w:p w:rsidR="006D7B71" w:rsidRPr="00EF69C6" w:rsidRDefault="006D7B71" w:rsidP="00D648DC">
            <w:pPr>
              <w:rPr>
                <w:i/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Contact number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Contact Email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Registered Nurse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Registration No.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Specialist Qualifications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Currently Working In: E.g. Name of hospital/department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>
              <w:rPr>
                <w:rStyle w:val="3oh-"/>
              </w:rPr>
              <w:t>Are you aware of the signs of shunt failure?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Training/Experience in Paediatric Catheterisation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Comfortable Catheterising Paediatric – Males &amp; Females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Training/Experience in Adult Catheterisation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Comfortable Catheterising Adults – Males &amp; Females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Competent in carrying out bowel care procedures: 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Willis Wash Out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Peristeen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00633794">
              <w:rPr>
                <w:color w:val="000000" w:themeColor="text1"/>
              </w:rPr>
              <w:t>Iry</w:t>
            </w:r>
            <w:proofErr w:type="spellEnd"/>
            <w:r w:rsidRPr="00633794">
              <w:rPr>
                <w:color w:val="000000" w:themeColor="text1"/>
              </w:rPr>
              <w:t xml:space="preserve"> Pump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Areas of further training required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Volunteering Experience with SBHI E.g. Shine 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Garda Vetted by SBHI 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</w:p>
        </w:tc>
      </w:tr>
      <w:tr w:rsidR="006D7B71" w:rsidRPr="00633794" w:rsidTr="00D648DC">
        <w:trPr>
          <w:trHeight w:hRule="exact" w:val="680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>Interested in providing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Paediatric Nursing Care (12 years and under)</w:t>
            </w:r>
          </w:p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Yes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  No </w:t>
            </w:r>
            <w:r w:rsidRPr="00633794">
              <w:rPr>
                <w:color w:val="000000" w:themeColor="text1"/>
              </w:rPr>
              <w:sym w:font="Symbol" w:char="F0A0"/>
            </w:r>
            <w:r w:rsidRPr="00633794">
              <w:rPr>
                <w:color w:val="000000" w:themeColor="text1"/>
              </w:rPr>
              <w:t xml:space="preserve"> Emergency Nursing Care (adults and children over 12 years of age)</w:t>
            </w:r>
          </w:p>
        </w:tc>
      </w:tr>
      <w:tr w:rsidR="006D7B71" w:rsidRPr="00633794" w:rsidTr="006D7B71">
        <w:trPr>
          <w:trHeight w:hRule="exact" w:val="772"/>
        </w:trPr>
        <w:tc>
          <w:tcPr>
            <w:tcW w:w="1568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  <w:r w:rsidRPr="00633794">
              <w:rPr>
                <w:color w:val="000000" w:themeColor="text1"/>
              </w:rPr>
              <w:t xml:space="preserve">Any other info: </w:t>
            </w:r>
          </w:p>
        </w:tc>
        <w:tc>
          <w:tcPr>
            <w:tcW w:w="3432" w:type="pct"/>
            <w:vAlign w:val="center"/>
          </w:tcPr>
          <w:p w:rsidR="006D7B71" w:rsidRPr="00633794" w:rsidRDefault="006D7B71" w:rsidP="00D648DC">
            <w:pPr>
              <w:rPr>
                <w:color w:val="000000" w:themeColor="text1"/>
              </w:rPr>
            </w:pPr>
          </w:p>
        </w:tc>
      </w:tr>
    </w:tbl>
    <w:p w:rsidR="008A4E69" w:rsidRPr="00EA2CE9" w:rsidRDefault="008A4E69">
      <w:pPr>
        <w:rPr>
          <w:color w:val="000000" w:themeColor="text1"/>
        </w:rPr>
      </w:pPr>
    </w:p>
    <w:sectPr w:rsidR="008A4E69" w:rsidRPr="00EA2CE9" w:rsidSect="006C606C">
      <w:pgSz w:w="11906" w:h="16838"/>
      <w:pgMar w:top="181" w:right="567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A7E"/>
    <w:multiLevelType w:val="hybridMultilevel"/>
    <w:tmpl w:val="6CAC9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9CC"/>
    <w:multiLevelType w:val="hybridMultilevel"/>
    <w:tmpl w:val="BD1A2914"/>
    <w:lvl w:ilvl="0" w:tplc="2AB01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802BE"/>
    <w:multiLevelType w:val="hybridMultilevel"/>
    <w:tmpl w:val="F62EE700"/>
    <w:lvl w:ilvl="0" w:tplc="22CE9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9"/>
    <w:rsid w:val="000B6A26"/>
    <w:rsid w:val="0010550E"/>
    <w:rsid w:val="002732EC"/>
    <w:rsid w:val="002E14D6"/>
    <w:rsid w:val="003173AB"/>
    <w:rsid w:val="00344D49"/>
    <w:rsid w:val="003F2039"/>
    <w:rsid w:val="003F79D0"/>
    <w:rsid w:val="003F7AEC"/>
    <w:rsid w:val="004319A8"/>
    <w:rsid w:val="00590E94"/>
    <w:rsid w:val="00633794"/>
    <w:rsid w:val="006C606C"/>
    <w:rsid w:val="006D7B71"/>
    <w:rsid w:val="0072286B"/>
    <w:rsid w:val="007348FF"/>
    <w:rsid w:val="00745DE7"/>
    <w:rsid w:val="007E1BE5"/>
    <w:rsid w:val="00815D5F"/>
    <w:rsid w:val="008A4E69"/>
    <w:rsid w:val="008B2B20"/>
    <w:rsid w:val="008E005D"/>
    <w:rsid w:val="008E07C0"/>
    <w:rsid w:val="008F60B5"/>
    <w:rsid w:val="00912053"/>
    <w:rsid w:val="009502ED"/>
    <w:rsid w:val="00A93C34"/>
    <w:rsid w:val="00AA2BE7"/>
    <w:rsid w:val="00AE3E21"/>
    <w:rsid w:val="00B622A8"/>
    <w:rsid w:val="00B86221"/>
    <w:rsid w:val="00C6017A"/>
    <w:rsid w:val="00CA5304"/>
    <w:rsid w:val="00CF0FB0"/>
    <w:rsid w:val="00E15F07"/>
    <w:rsid w:val="00E52AA8"/>
    <w:rsid w:val="00E95163"/>
    <w:rsid w:val="00EA2CE9"/>
    <w:rsid w:val="00EF69C6"/>
    <w:rsid w:val="00F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E9"/>
  </w:style>
  <w:style w:type="paragraph" w:styleId="Heading1">
    <w:name w:val="heading 1"/>
    <w:basedOn w:val="Normal"/>
    <w:next w:val="Normal"/>
    <w:link w:val="Heading1Char"/>
    <w:uiPriority w:val="9"/>
    <w:qFormat/>
    <w:rsid w:val="00912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2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2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2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BE7"/>
    <w:rPr>
      <w:color w:val="0563C1" w:themeColor="hyperlink"/>
      <w:u w:val="single"/>
    </w:rPr>
  </w:style>
  <w:style w:type="character" w:customStyle="1" w:styleId="3oh-">
    <w:name w:val="_3oh-"/>
    <w:basedOn w:val="DefaultParagraphFont"/>
    <w:rsid w:val="00633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E9"/>
  </w:style>
  <w:style w:type="paragraph" w:styleId="Heading1">
    <w:name w:val="heading 1"/>
    <w:basedOn w:val="Normal"/>
    <w:next w:val="Normal"/>
    <w:link w:val="Heading1Char"/>
    <w:uiPriority w:val="9"/>
    <w:qFormat/>
    <w:rsid w:val="00912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2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2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2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BE7"/>
    <w:rPr>
      <w:color w:val="0563C1" w:themeColor="hyperlink"/>
      <w:u w:val="single"/>
    </w:rPr>
  </w:style>
  <w:style w:type="character" w:customStyle="1" w:styleId="3oh-">
    <w:name w:val="_3oh-"/>
    <w:basedOn w:val="DefaultParagraphFont"/>
    <w:rsid w:val="0063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bhikildare.com/contact-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hikildare.com/nur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Miley</dc:creator>
  <cp:lastModifiedBy>Owner</cp:lastModifiedBy>
  <cp:revision>2</cp:revision>
  <dcterms:created xsi:type="dcterms:W3CDTF">2017-02-14T20:49:00Z</dcterms:created>
  <dcterms:modified xsi:type="dcterms:W3CDTF">2017-02-14T20:49:00Z</dcterms:modified>
</cp:coreProperties>
</file>